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9127" w14:textId="77777777" w:rsidR="00FE067E" w:rsidRPr="00C00B67" w:rsidRDefault="003C6034" w:rsidP="00CC1F3B">
      <w:pPr>
        <w:pStyle w:val="TitlePageOrigin"/>
        <w:rPr>
          <w:color w:val="auto"/>
        </w:rPr>
      </w:pPr>
      <w:r w:rsidRPr="00C00B67">
        <w:rPr>
          <w:caps w:val="0"/>
          <w:color w:val="auto"/>
        </w:rPr>
        <w:t>WEST VIRGINIA LEGISLATURE</w:t>
      </w:r>
    </w:p>
    <w:p w14:paraId="17266FCB" w14:textId="77777777" w:rsidR="00CD36CF" w:rsidRPr="00C00B67" w:rsidRDefault="00CD36CF" w:rsidP="00CC1F3B">
      <w:pPr>
        <w:pStyle w:val="TitlePageSession"/>
        <w:rPr>
          <w:color w:val="auto"/>
        </w:rPr>
      </w:pPr>
      <w:r w:rsidRPr="00C00B67">
        <w:rPr>
          <w:color w:val="auto"/>
        </w:rPr>
        <w:t>20</w:t>
      </w:r>
      <w:r w:rsidR="00EC5E63" w:rsidRPr="00C00B67">
        <w:rPr>
          <w:color w:val="auto"/>
        </w:rPr>
        <w:t>2</w:t>
      </w:r>
      <w:r w:rsidR="00B71E6F" w:rsidRPr="00C00B67">
        <w:rPr>
          <w:color w:val="auto"/>
        </w:rPr>
        <w:t>3</w:t>
      </w:r>
      <w:r w:rsidRPr="00C00B67">
        <w:rPr>
          <w:color w:val="auto"/>
        </w:rPr>
        <w:t xml:space="preserve"> </w:t>
      </w:r>
      <w:r w:rsidR="003C6034" w:rsidRPr="00C00B67">
        <w:rPr>
          <w:caps w:val="0"/>
          <w:color w:val="auto"/>
        </w:rPr>
        <w:t>REGULAR SESSION</w:t>
      </w:r>
    </w:p>
    <w:p w14:paraId="389B846E" w14:textId="77777777" w:rsidR="00CD36CF" w:rsidRPr="00C00B67" w:rsidRDefault="000A36BF" w:rsidP="00CC1F3B">
      <w:pPr>
        <w:pStyle w:val="TitlePageBillPrefix"/>
        <w:rPr>
          <w:color w:val="auto"/>
        </w:rPr>
      </w:pPr>
      <w:sdt>
        <w:sdtPr>
          <w:rPr>
            <w:color w:val="auto"/>
          </w:rPr>
          <w:tag w:val="IntroDate"/>
          <w:id w:val="-1236936958"/>
          <w:placeholder>
            <w:docPart w:val="F8A9A639A1884020BF3576F0A0A8418B"/>
          </w:placeholder>
          <w:text/>
        </w:sdtPr>
        <w:sdtEndPr/>
        <w:sdtContent>
          <w:r w:rsidR="00AE48A0" w:rsidRPr="00C00B67">
            <w:rPr>
              <w:color w:val="auto"/>
            </w:rPr>
            <w:t>Introduced</w:t>
          </w:r>
        </w:sdtContent>
      </w:sdt>
    </w:p>
    <w:p w14:paraId="413446F4" w14:textId="5F6BB5AD" w:rsidR="00CD36CF" w:rsidRPr="00C00B67" w:rsidRDefault="000A36BF" w:rsidP="00CC1F3B">
      <w:pPr>
        <w:pStyle w:val="BillNumber"/>
        <w:rPr>
          <w:color w:val="auto"/>
        </w:rPr>
      </w:pPr>
      <w:sdt>
        <w:sdtPr>
          <w:rPr>
            <w:color w:val="auto"/>
          </w:rPr>
          <w:tag w:val="Chamber"/>
          <w:id w:val="893011969"/>
          <w:lock w:val="sdtLocked"/>
          <w:placeholder>
            <w:docPart w:val="3047BF8DCF2F4BDB959CE83B186228F4"/>
          </w:placeholder>
          <w:dropDownList>
            <w:listItem w:displayText="House" w:value="House"/>
            <w:listItem w:displayText="Senate" w:value="Senate"/>
          </w:dropDownList>
        </w:sdtPr>
        <w:sdtEndPr/>
        <w:sdtContent>
          <w:r w:rsidR="00C33434" w:rsidRPr="00C00B67">
            <w:rPr>
              <w:color w:val="auto"/>
            </w:rPr>
            <w:t>House</w:t>
          </w:r>
        </w:sdtContent>
      </w:sdt>
      <w:r w:rsidR="00303684" w:rsidRPr="00C00B67">
        <w:rPr>
          <w:color w:val="auto"/>
        </w:rPr>
        <w:t xml:space="preserve"> </w:t>
      </w:r>
      <w:r w:rsidR="00CD36CF" w:rsidRPr="00C00B67">
        <w:rPr>
          <w:color w:val="auto"/>
        </w:rPr>
        <w:t xml:space="preserve">Bill </w:t>
      </w:r>
      <w:sdt>
        <w:sdtPr>
          <w:rPr>
            <w:color w:val="auto"/>
          </w:rPr>
          <w:tag w:val="BNum"/>
          <w:id w:val="1645317809"/>
          <w:lock w:val="sdtLocked"/>
          <w:placeholder>
            <w:docPart w:val="A7A1937461124589BC4EC162F4D58E77"/>
          </w:placeholder>
          <w:text/>
        </w:sdtPr>
        <w:sdtEndPr/>
        <w:sdtContent>
          <w:r>
            <w:rPr>
              <w:color w:val="auto"/>
            </w:rPr>
            <w:t>2865</w:t>
          </w:r>
        </w:sdtContent>
      </w:sdt>
    </w:p>
    <w:p w14:paraId="0D92D410" w14:textId="0835AD96" w:rsidR="00CD36CF" w:rsidRPr="00C00B67" w:rsidRDefault="00CD36CF" w:rsidP="00CC1F3B">
      <w:pPr>
        <w:pStyle w:val="Sponsors"/>
        <w:rPr>
          <w:color w:val="auto"/>
        </w:rPr>
      </w:pPr>
      <w:r w:rsidRPr="00C00B67">
        <w:rPr>
          <w:color w:val="auto"/>
        </w:rPr>
        <w:t xml:space="preserve">By </w:t>
      </w:r>
      <w:sdt>
        <w:sdtPr>
          <w:rPr>
            <w:color w:val="auto"/>
          </w:rPr>
          <w:tag w:val="Sponsors"/>
          <w:id w:val="1589585889"/>
          <w:placeholder>
            <w:docPart w:val="1BFC8527BB4346E9A2CFA61014C9A297"/>
          </w:placeholder>
          <w:text w:multiLine="1"/>
        </w:sdtPr>
        <w:sdtEndPr/>
        <w:sdtContent>
          <w:r w:rsidR="00B35F89" w:rsidRPr="00C00B67">
            <w:rPr>
              <w:color w:val="auto"/>
            </w:rPr>
            <w:t>Delegate Westfall</w:t>
          </w:r>
        </w:sdtContent>
      </w:sdt>
    </w:p>
    <w:p w14:paraId="54DE1FFC" w14:textId="396DC796" w:rsidR="00E831B3" w:rsidRPr="00C00B67" w:rsidRDefault="00CD36CF" w:rsidP="00CC1F3B">
      <w:pPr>
        <w:pStyle w:val="References"/>
        <w:rPr>
          <w:color w:val="auto"/>
        </w:rPr>
      </w:pPr>
      <w:r w:rsidRPr="00C00B67">
        <w:rPr>
          <w:color w:val="auto"/>
        </w:rPr>
        <w:t>[</w:t>
      </w:r>
      <w:sdt>
        <w:sdtPr>
          <w:rPr>
            <w:color w:val="auto"/>
          </w:rPr>
          <w:tag w:val="References"/>
          <w:id w:val="-1043047873"/>
          <w:placeholder>
            <w:docPart w:val="4624967A23624E37AC692066992130C9"/>
          </w:placeholder>
          <w:text w:multiLine="1"/>
        </w:sdtPr>
        <w:sdtEndPr/>
        <w:sdtContent>
          <w:r w:rsidR="000A36BF">
            <w:rPr>
              <w:color w:val="auto"/>
            </w:rPr>
            <w:t>Introduced January 20, 2023; Referred to the Committee on Technology and Infrastructure</w:t>
          </w:r>
        </w:sdtContent>
      </w:sdt>
      <w:r w:rsidRPr="00C00B67">
        <w:rPr>
          <w:color w:val="auto"/>
        </w:rPr>
        <w:t>]</w:t>
      </w:r>
    </w:p>
    <w:p w14:paraId="687DECE6" w14:textId="5B564FDD" w:rsidR="00303684" w:rsidRPr="00C00B67" w:rsidRDefault="0000526A" w:rsidP="00CC1F3B">
      <w:pPr>
        <w:pStyle w:val="TitleSection"/>
        <w:rPr>
          <w:color w:val="auto"/>
        </w:rPr>
      </w:pPr>
      <w:r w:rsidRPr="00C00B67">
        <w:rPr>
          <w:color w:val="auto"/>
        </w:rPr>
        <w:lastRenderedPageBreak/>
        <w:t>A BILL</w:t>
      </w:r>
      <w:r w:rsidR="00BF6D03" w:rsidRPr="00C00B67">
        <w:rPr>
          <w:color w:val="auto"/>
        </w:rPr>
        <w:t xml:space="preserve"> to amend</w:t>
      </w:r>
      <w:r w:rsidR="00B35F89" w:rsidRPr="00C00B67">
        <w:rPr>
          <w:color w:val="auto"/>
        </w:rPr>
        <w:t xml:space="preserve"> and reenact </w:t>
      </w:r>
      <w:r w:rsidR="00BF6D03" w:rsidRPr="00C00B67">
        <w:rPr>
          <w:color w:val="auto"/>
        </w:rPr>
        <w:t xml:space="preserve">§24-2H-8 </w:t>
      </w:r>
      <w:r w:rsidR="00B35F89" w:rsidRPr="00C00B67">
        <w:rPr>
          <w:color w:val="auto"/>
        </w:rPr>
        <w:t>of the Code of West Virginia, 1931, as amended, related t</w:t>
      </w:r>
      <w:r w:rsidR="00BF6D03" w:rsidRPr="00C00B67">
        <w:rPr>
          <w:color w:val="auto"/>
        </w:rPr>
        <w:t>o clarify</w:t>
      </w:r>
      <w:r w:rsidR="00B35F89" w:rsidRPr="00C00B67">
        <w:rPr>
          <w:color w:val="auto"/>
        </w:rPr>
        <w:t>ing</w:t>
      </w:r>
      <w:r w:rsidR="00BF6D03" w:rsidRPr="00C00B67">
        <w:rPr>
          <w:color w:val="auto"/>
        </w:rPr>
        <w:t xml:space="preserve"> that the </w:t>
      </w:r>
      <w:r w:rsidR="00B35F89" w:rsidRPr="00C00B67">
        <w:rPr>
          <w:color w:val="auto"/>
        </w:rPr>
        <w:t xml:space="preserve">Public Service </w:t>
      </w:r>
      <w:r w:rsidR="00BF6D03" w:rsidRPr="00C00B67">
        <w:rPr>
          <w:color w:val="auto"/>
        </w:rPr>
        <w:t xml:space="preserve">Commission may enter an order </w:t>
      </w:r>
      <w:r w:rsidR="005B1D02" w:rsidRPr="00C00B67">
        <w:rPr>
          <w:color w:val="auto"/>
        </w:rPr>
        <w:t xml:space="preserve">in a distressed or failing utility case </w:t>
      </w:r>
      <w:r w:rsidR="00BF6D03" w:rsidRPr="00C00B67">
        <w:rPr>
          <w:color w:val="auto"/>
        </w:rPr>
        <w:t>requiring</w:t>
      </w:r>
      <w:r w:rsidR="005B1D02" w:rsidRPr="00C00B67">
        <w:rPr>
          <w:color w:val="auto"/>
        </w:rPr>
        <w:t xml:space="preserve"> corrective</w:t>
      </w:r>
      <w:r w:rsidR="00BF6D03" w:rsidRPr="00C00B67">
        <w:rPr>
          <w:color w:val="auto"/>
        </w:rPr>
        <w:t xml:space="preserve"> measures up to and including an acquisition by an acquiring utility</w:t>
      </w:r>
      <w:r w:rsidR="00D64128" w:rsidRPr="00C00B67">
        <w:rPr>
          <w:color w:val="auto"/>
        </w:rPr>
        <w:t>.</w:t>
      </w:r>
    </w:p>
    <w:p w14:paraId="41F6120A" w14:textId="77777777" w:rsidR="00303684" w:rsidRPr="00C00B67" w:rsidRDefault="00303684" w:rsidP="00CC1F3B">
      <w:pPr>
        <w:pStyle w:val="EnactingClause"/>
        <w:rPr>
          <w:color w:val="auto"/>
        </w:rPr>
      </w:pPr>
      <w:r w:rsidRPr="00C00B67">
        <w:rPr>
          <w:color w:val="auto"/>
        </w:rPr>
        <w:t>Be it enacted by the Legislature of West Virginia:</w:t>
      </w:r>
    </w:p>
    <w:p w14:paraId="772DF3A2" w14:textId="77777777" w:rsidR="00B35F89" w:rsidRPr="00C00B67" w:rsidRDefault="00B35F89" w:rsidP="00D64128">
      <w:pPr>
        <w:shd w:val="clear" w:color="auto" w:fill="FFFFFF"/>
        <w:spacing w:after="225" w:line="390" w:lineRule="atLeast"/>
        <w:textAlignment w:val="baseline"/>
        <w:outlineLvl w:val="3"/>
        <w:rPr>
          <w:rFonts w:ascii="Times New Roman" w:eastAsia="Times New Roman" w:hAnsi="Times New Roman" w:cs="Times New Roman"/>
          <w:b/>
          <w:bCs/>
          <w:color w:val="auto"/>
          <w:sz w:val="27"/>
          <w:szCs w:val="27"/>
        </w:rPr>
        <w:sectPr w:rsidR="00B35F89" w:rsidRPr="00C00B67" w:rsidSect="00B23F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569CB3" w14:textId="77777777" w:rsidR="00B35F89" w:rsidRPr="00C00B67" w:rsidRDefault="00B35F89" w:rsidP="00674310">
      <w:pPr>
        <w:pStyle w:val="ArticleHeading"/>
        <w:rPr>
          <w:color w:val="auto"/>
        </w:rPr>
      </w:pPr>
      <w:r w:rsidRPr="00C00B67">
        <w:rPr>
          <w:caps w:val="0"/>
          <w:color w:val="auto"/>
        </w:rPr>
        <w:t>ARTICLE 2H. POWER OF COMMISSION TO ORDER MEASURES UP TO AND INCLUDING THE ACQUISITION OF DISTRESSED AND FAILING WATER AND WASTEWATER UTILITIES.</w:t>
      </w:r>
    </w:p>
    <w:p w14:paraId="181EE559" w14:textId="5F502659" w:rsidR="00D64128" w:rsidRPr="00C00B67" w:rsidRDefault="00D64128" w:rsidP="00B35F89">
      <w:pPr>
        <w:pStyle w:val="SectionHeading"/>
        <w:rPr>
          <w:color w:val="auto"/>
        </w:rPr>
      </w:pPr>
      <w:r w:rsidRPr="00C00B67">
        <w:rPr>
          <w:color w:val="auto"/>
        </w:rPr>
        <w:t>§24-2H-8. Commission approval of operating agreement, acquisition price; rates for distressed and failing utilities; improvement plan; debt obligations; cost recovery.</w:t>
      </w:r>
    </w:p>
    <w:p w14:paraId="74514765" w14:textId="77777777" w:rsidR="00D64128" w:rsidRPr="00C00B67" w:rsidRDefault="00D64128" w:rsidP="00CC1F3B">
      <w:pPr>
        <w:pStyle w:val="EnactingClause"/>
        <w:rPr>
          <w:color w:val="auto"/>
        </w:rPr>
        <w:sectPr w:rsidR="00D64128" w:rsidRPr="00C00B67" w:rsidSect="00B23F8E">
          <w:type w:val="continuous"/>
          <w:pgSz w:w="12240" w:h="15840" w:code="1"/>
          <w:pgMar w:top="1440" w:right="1440" w:bottom="1440" w:left="1440" w:header="720" w:footer="720" w:gutter="0"/>
          <w:lnNumType w:countBy="1" w:restart="newSection"/>
          <w:pgNumType w:start="0"/>
          <w:cols w:space="720"/>
          <w:titlePg/>
          <w:docGrid w:linePitch="360"/>
        </w:sectPr>
      </w:pPr>
    </w:p>
    <w:p w14:paraId="6D2CD324" w14:textId="77777777" w:rsidR="005B1D02" w:rsidRPr="00C00B67" w:rsidRDefault="005B1D02" w:rsidP="00B35F89">
      <w:pPr>
        <w:pStyle w:val="SectionBody"/>
        <w:rPr>
          <w:color w:val="auto"/>
        </w:rPr>
      </w:pPr>
      <w:r w:rsidRPr="00C00B67">
        <w:rPr>
          <w:color w:val="auto"/>
        </w:rPr>
        <w:t xml:space="preserve">(a) After an order has been entered pursuant to §24-2H-7 of this code, the distressed utility and </w:t>
      </w:r>
      <w:r w:rsidRPr="00C00B67">
        <w:rPr>
          <w:strike/>
          <w:color w:val="auto"/>
        </w:rPr>
        <w:t>acquiring</w:t>
      </w:r>
      <w:r w:rsidRPr="00C00B67">
        <w:rPr>
          <w:color w:val="auto"/>
        </w:rPr>
        <w:t xml:space="preserve"> </w:t>
      </w:r>
      <w:r w:rsidRPr="00C00B67">
        <w:rPr>
          <w:color w:val="auto"/>
          <w:u w:val="single"/>
        </w:rPr>
        <w:t>another public</w:t>
      </w:r>
      <w:r w:rsidRPr="00C00B67">
        <w:rPr>
          <w:color w:val="auto"/>
        </w:rPr>
        <w:t xml:space="preserve">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indebtednesses if legally permitted. The acquiring utility shall consult with the lenders or lienholders regarding payment in full or the assumption, to the extent legally permissible, of any outstanding obligations of the failing utility.</w:t>
      </w:r>
    </w:p>
    <w:p w14:paraId="6BAD0A2E" w14:textId="77777777" w:rsidR="005B1D02" w:rsidRPr="00C00B67" w:rsidRDefault="005B1D02" w:rsidP="00B35F89">
      <w:pPr>
        <w:pStyle w:val="SectionBody"/>
        <w:rPr>
          <w:color w:val="auto"/>
        </w:rPr>
      </w:pPr>
      <w:r w:rsidRPr="00C00B67">
        <w:rPr>
          <w:color w:val="auto"/>
        </w:rPr>
        <w:t>(b) The parties to an acquisition may propose to the commission other methods of determining the acquisition price.</w:t>
      </w:r>
    </w:p>
    <w:p w14:paraId="686C7B86" w14:textId="77777777" w:rsidR="005B1D02" w:rsidRPr="00C00B67" w:rsidRDefault="005B1D02" w:rsidP="00B35F89">
      <w:pPr>
        <w:pStyle w:val="SectionBody"/>
        <w:rPr>
          <w:color w:val="auto"/>
        </w:rPr>
      </w:pPr>
      <w:r w:rsidRPr="00C00B67">
        <w:rPr>
          <w:color w:val="auto"/>
        </w:rPr>
        <w:t>(c)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w:t>
      </w:r>
      <w:r w:rsidR="00707639" w:rsidRPr="00C00B67">
        <w:rPr>
          <w:color w:val="auto"/>
        </w:rPr>
        <w:t>l</w:t>
      </w:r>
      <w:r w:rsidRPr="00C00B67">
        <w:rPr>
          <w:color w:val="auto"/>
        </w:rPr>
        <w:t>ow a surcharge to be placed on the acquiring utility’s acquired or existing ratepayers.</w:t>
      </w:r>
    </w:p>
    <w:p w14:paraId="24CBA46A" w14:textId="77777777" w:rsidR="005B1D02" w:rsidRPr="00C00B67" w:rsidRDefault="005B1D02" w:rsidP="00B35F89">
      <w:pPr>
        <w:pStyle w:val="SectionBody"/>
        <w:rPr>
          <w:color w:val="auto"/>
        </w:rPr>
      </w:pPr>
      <w:r w:rsidRPr="00C00B67">
        <w:rPr>
          <w:color w:val="auto"/>
        </w:rPr>
        <w:t>(d)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utility’s and the acquiring utility’s bondholder(s) to the acquisition. The acquiring utility must present to the commission as part of its financing plan, documentation on how the failing utility’s indebtedness will be paid or assumed.</w:t>
      </w:r>
    </w:p>
    <w:p w14:paraId="336F3D17" w14:textId="77777777" w:rsidR="005B1D02" w:rsidRPr="00C00B67" w:rsidRDefault="005B1D02" w:rsidP="00B35F89">
      <w:pPr>
        <w:pStyle w:val="SectionBody"/>
        <w:rPr>
          <w:color w:val="auto"/>
        </w:rPr>
      </w:pPr>
      <w:r w:rsidRPr="00C00B67">
        <w:rPr>
          <w:color w:val="auto"/>
        </w:rPr>
        <w:t>(e) A nonprofit acquiring public utility may seek grant funding from the Distressed Utilities Account established pursuant to §31-15A-9(i) of this code to repair, maintain, and replace the distressed water and wastewater utilities facilities as needed. The reasonably and prudently incurred costs of the acquiring utility shall be recoverable in rates as provided in §24-2H-9 of this code.</w:t>
      </w:r>
    </w:p>
    <w:p w14:paraId="4D87793D" w14:textId="77777777" w:rsidR="005B1D02" w:rsidRPr="00C00B67" w:rsidRDefault="005B1D02" w:rsidP="00B35F89">
      <w:pPr>
        <w:pStyle w:val="SectionBody"/>
        <w:rPr>
          <w:color w:val="auto"/>
        </w:rPr>
      </w:pPr>
      <w:r w:rsidRPr="00C00B67">
        <w:rPr>
          <w:color w:val="auto"/>
        </w:rPr>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614309DA" w14:textId="77777777" w:rsidR="00C33014" w:rsidRPr="00C00B67" w:rsidRDefault="005B1D02" w:rsidP="00B35F89">
      <w:pPr>
        <w:pStyle w:val="SectionBody"/>
        <w:rPr>
          <w:color w:val="auto"/>
        </w:rPr>
      </w:pPr>
      <w:r w:rsidRPr="00C00B67">
        <w:rPr>
          <w:color w:val="auto"/>
        </w:rPr>
        <w:t>(g) The capable proximate utility may propose one or more of the cost recovery methods or incentives set forth in §24-2H-9 of this code as part of its petition for approval from the commission.</w:t>
      </w:r>
    </w:p>
    <w:p w14:paraId="63DDD13A" w14:textId="04BA6FFD" w:rsidR="006865E9" w:rsidRPr="00C00B67" w:rsidRDefault="00CF1DCA" w:rsidP="00CC1F3B">
      <w:pPr>
        <w:pStyle w:val="Note"/>
        <w:rPr>
          <w:color w:val="auto"/>
        </w:rPr>
      </w:pPr>
      <w:r w:rsidRPr="00C00B67">
        <w:rPr>
          <w:color w:val="auto"/>
        </w:rPr>
        <w:t>NOTE: The</w:t>
      </w:r>
      <w:r w:rsidR="006865E9" w:rsidRPr="00C00B67">
        <w:rPr>
          <w:color w:val="auto"/>
        </w:rPr>
        <w:t xml:space="preserve"> purpose of this bill is to </w:t>
      </w:r>
      <w:r w:rsidR="00BF6D03" w:rsidRPr="00C00B67">
        <w:rPr>
          <w:color w:val="auto"/>
        </w:rPr>
        <w:t xml:space="preserve">clarify that the </w:t>
      </w:r>
      <w:r w:rsidR="00B35F89" w:rsidRPr="00C00B67">
        <w:rPr>
          <w:color w:val="auto"/>
        </w:rPr>
        <w:t xml:space="preserve">Public Service </w:t>
      </w:r>
      <w:r w:rsidR="00BF6D03" w:rsidRPr="00C00B67">
        <w:rPr>
          <w:color w:val="auto"/>
        </w:rPr>
        <w:t xml:space="preserve">Commission may </w:t>
      </w:r>
      <w:r w:rsidR="005B1D02" w:rsidRPr="00C00B67">
        <w:rPr>
          <w:color w:val="auto"/>
        </w:rPr>
        <w:t xml:space="preserve">enter an order requiring corrective measures up to and including </w:t>
      </w:r>
      <w:r w:rsidR="00BF6D03" w:rsidRPr="00C00B67">
        <w:rPr>
          <w:color w:val="auto"/>
        </w:rPr>
        <w:t>an acquisition of a distressed or failing utility</w:t>
      </w:r>
      <w:r w:rsidR="005B1D02" w:rsidRPr="00C00B67">
        <w:rPr>
          <w:color w:val="auto"/>
        </w:rPr>
        <w:t>.</w:t>
      </w:r>
    </w:p>
    <w:p w14:paraId="4FB08087" w14:textId="77777777" w:rsidR="006865E9" w:rsidRPr="00C00B67" w:rsidRDefault="00AE48A0" w:rsidP="00CC1F3B">
      <w:pPr>
        <w:pStyle w:val="Note"/>
        <w:rPr>
          <w:color w:val="auto"/>
        </w:rPr>
      </w:pPr>
      <w:r w:rsidRPr="00C00B67">
        <w:rPr>
          <w:color w:val="auto"/>
        </w:rPr>
        <w:t>Strike-throughs indicate language that would be stricken from a heading or the present law and underscoring indicates new language that would be added.</w:t>
      </w:r>
    </w:p>
    <w:sectPr w:rsidR="006865E9" w:rsidRPr="00C00B67" w:rsidSect="00B23F8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221A" w14:textId="77777777" w:rsidR="0068646A" w:rsidRPr="00B844FE" w:rsidRDefault="0068646A" w:rsidP="00B844FE">
      <w:r>
        <w:separator/>
      </w:r>
    </w:p>
  </w:endnote>
  <w:endnote w:type="continuationSeparator" w:id="0">
    <w:p w14:paraId="32854C67" w14:textId="77777777" w:rsidR="0068646A" w:rsidRPr="00B844FE" w:rsidRDefault="006864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DD57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6A03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F85D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8872" w14:textId="77777777" w:rsidR="0068646A" w:rsidRPr="00B844FE" w:rsidRDefault="0068646A" w:rsidP="00B844FE">
      <w:r>
        <w:separator/>
      </w:r>
    </w:p>
  </w:footnote>
  <w:footnote w:type="continuationSeparator" w:id="0">
    <w:p w14:paraId="7EA0A277" w14:textId="77777777" w:rsidR="0068646A" w:rsidRPr="00B844FE" w:rsidRDefault="006864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7CF2" w14:textId="77777777" w:rsidR="002A0269" w:rsidRPr="00B844FE" w:rsidRDefault="000A36BF">
    <w:pPr>
      <w:pStyle w:val="Header"/>
    </w:pPr>
    <w:sdt>
      <w:sdtPr>
        <w:id w:val="-684364211"/>
        <w:placeholder>
          <w:docPart w:val="3047BF8DCF2F4BDB959CE83B186228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47BF8DCF2F4BDB959CE83B186228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C519" w14:textId="49A79C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35F8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35F89">
          <w:rPr>
            <w:sz w:val="22"/>
            <w:szCs w:val="22"/>
          </w:rPr>
          <w:t>2023R2933</w:t>
        </w:r>
      </w:sdtContent>
    </w:sdt>
  </w:p>
  <w:p w14:paraId="5F7C20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E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A"/>
    <w:rsid w:val="0000526A"/>
    <w:rsid w:val="000573A9"/>
    <w:rsid w:val="00085D22"/>
    <w:rsid w:val="00090CE2"/>
    <w:rsid w:val="00093AB0"/>
    <w:rsid w:val="000A36BF"/>
    <w:rsid w:val="000C5C77"/>
    <w:rsid w:val="000E3912"/>
    <w:rsid w:val="0010070F"/>
    <w:rsid w:val="0015112E"/>
    <w:rsid w:val="001552E7"/>
    <w:rsid w:val="001566B4"/>
    <w:rsid w:val="001A66B7"/>
    <w:rsid w:val="001C279E"/>
    <w:rsid w:val="001D459E"/>
    <w:rsid w:val="0022348D"/>
    <w:rsid w:val="0027011C"/>
    <w:rsid w:val="00274200"/>
    <w:rsid w:val="00275740"/>
    <w:rsid w:val="00291085"/>
    <w:rsid w:val="002A0269"/>
    <w:rsid w:val="00303684"/>
    <w:rsid w:val="003143F5"/>
    <w:rsid w:val="00314854"/>
    <w:rsid w:val="00394191"/>
    <w:rsid w:val="003C51CD"/>
    <w:rsid w:val="003C6034"/>
    <w:rsid w:val="00400B5C"/>
    <w:rsid w:val="004368E0"/>
    <w:rsid w:val="004A238C"/>
    <w:rsid w:val="004C13DD"/>
    <w:rsid w:val="004D3ABE"/>
    <w:rsid w:val="004E3441"/>
    <w:rsid w:val="00500579"/>
    <w:rsid w:val="005A5366"/>
    <w:rsid w:val="005B1D02"/>
    <w:rsid w:val="006369EB"/>
    <w:rsid w:val="00637E73"/>
    <w:rsid w:val="0068646A"/>
    <w:rsid w:val="006865E9"/>
    <w:rsid w:val="00686E9A"/>
    <w:rsid w:val="00691F3E"/>
    <w:rsid w:val="00694BFB"/>
    <w:rsid w:val="006A106B"/>
    <w:rsid w:val="006C523D"/>
    <w:rsid w:val="006D4036"/>
    <w:rsid w:val="00707639"/>
    <w:rsid w:val="007A5259"/>
    <w:rsid w:val="007A7081"/>
    <w:rsid w:val="007F0165"/>
    <w:rsid w:val="007F1CF5"/>
    <w:rsid w:val="00834EDE"/>
    <w:rsid w:val="008736AA"/>
    <w:rsid w:val="008D275D"/>
    <w:rsid w:val="00980327"/>
    <w:rsid w:val="00986478"/>
    <w:rsid w:val="0099035C"/>
    <w:rsid w:val="009B5557"/>
    <w:rsid w:val="009F1067"/>
    <w:rsid w:val="00A31E01"/>
    <w:rsid w:val="00A527AD"/>
    <w:rsid w:val="00A718CF"/>
    <w:rsid w:val="00AE48A0"/>
    <w:rsid w:val="00AE61BE"/>
    <w:rsid w:val="00B16F25"/>
    <w:rsid w:val="00B23F8E"/>
    <w:rsid w:val="00B24422"/>
    <w:rsid w:val="00B35F89"/>
    <w:rsid w:val="00B66B81"/>
    <w:rsid w:val="00B71E6F"/>
    <w:rsid w:val="00B80C20"/>
    <w:rsid w:val="00B844FE"/>
    <w:rsid w:val="00B86B4F"/>
    <w:rsid w:val="00BA1F84"/>
    <w:rsid w:val="00BC562B"/>
    <w:rsid w:val="00BF6D03"/>
    <w:rsid w:val="00C00B67"/>
    <w:rsid w:val="00C33014"/>
    <w:rsid w:val="00C33434"/>
    <w:rsid w:val="00C34869"/>
    <w:rsid w:val="00C42EB6"/>
    <w:rsid w:val="00C85096"/>
    <w:rsid w:val="00CB20EF"/>
    <w:rsid w:val="00CC1F3B"/>
    <w:rsid w:val="00CD12CB"/>
    <w:rsid w:val="00CD36CF"/>
    <w:rsid w:val="00CF1DCA"/>
    <w:rsid w:val="00D579FC"/>
    <w:rsid w:val="00D64128"/>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E9404F"/>
  <w15:chartTrackingRefBased/>
  <w15:docId w15:val="{A57C9EBC-90E6-4A60-A8D2-6D40C5D2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5B1D0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uvette\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9A639A1884020BF3576F0A0A8418B"/>
        <w:category>
          <w:name w:val="General"/>
          <w:gallery w:val="placeholder"/>
        </w:category>
        <w:types>
          <w:type w:val="bbPlcHdr"/>
        </w:types>
        <w:behaviors>
          <w:behavior w:val="content"/>
        </w:behaviors>
        <w:guid w:val="{EE237FBF-4AB8-4286-9E31-7D85B484055D}"/>
      </w:docPartPr>
      <w:docPartBody>
        <w:p w:rsidR="00075883" w:rsidRDefault="00075883">
          <w:pPr>
            <w:pStyle w:val="F8A9A639A1884020BF3576F0A0A8418B"/>
          </w:pPr>
          <w:r w:rsidRPr="00B844FE">
            <w:t>Prefix Text</w:t>
          </w:r>
        </w:p>
      </w:docPartBody>
    </w:docPart>
    <w:docPart>
      <w:docPartPr>
        <w:name w:val="3047BF8DCF2F4BDB959CE83B186228F4"/>
        <w:category>
          <w:name w:val="General"/>
          <w:gallery w:val="placeholder"/>
        </w:category>
        <w:types>
          <w:type w:val="bbPlcHdr"/>
        </w:types>
        <w:behaviors>
          <w:behavior w:val="content"/>
        </w:behaviors>
        <w:guid w:val="{E2967B1A-3014-4435-A04D-E071C0A3A826}"/>
      </w:docPartPr>
      <w:docPartBody>
        <w:p w:rsidR="00075883" w:rsidRDefault="00075883">
          <w:pPr>
            <w:pStyle w:val="3047BF8DCF2F4BDB959CE83B186228F4"/>
          </w:pPr>
          <w:r w:rsidRPr="00B844FE">
            <w:t>[Type here]</w:t>
          </w:r>
        </w:p>
      </w:docPartBody>
    </w:docPart>
    <w:docPart>
      <w:docPartPr>
        <w:name w:val="A7A1937461124589BC4EC162F4D58E77"/>
        <w:category>
          <w:name w:val="General"/>
          <w:gallery w:val="placeholder"/>
        </w:category>
        <w:types>
          <w:type w:val="bbPlcHdr"/>
        </w:types>
        <w:behaviors>
          <w:behavior w:val="content"/>
        </w:behaviors>
        <w:guid w:val="{4FD48585-CFAF-46AD-9EA7-9853B0059334}"/>
      </w:docPartPr>
      <w:docPartBody>
        <w:p w:rsidR="00075883" w:rsidRDefault="00075883">
          <w:pPr>
            <w:pStyle w:val="A7A1937461124589BC4EC162F4D58E77"/>
          </w:pPr>
          <w:r w:rsidRPr="00B844FE">
            <w:t>Number</w:t>
          </w:r>
        </w:p>
      </w:docPartBody>
    </w:docPart>
    <w:docPart>
      <w:docPartPr>
        <w:name w:val="1BFC8527BB4346E9A2CFA61014C9A297"/>
        <w:category>
          <w:name w:val="General"/>
          <w:gallery w:val="placeholder"/>
        </w:category>
        <w:types>
          <w:type w:val="bbPlcHdr"/>
        </w:types>
        <w:behaviors>
          <w:behavior w:val="content"/>
        </w:behaviors>
        <w:guid w:val="{6DA87F1C-031D-408B-85C8-75CB69DD37B1}"/>
      </w:docPartPr>
      <w:docPartBody>
        <w:p w:rsidR="00075883" w:rsidRDefault="00075883">
          <w:pPr>
            <w:pStyle w:val="1BFC8527BB4346E9A2CFA61014C9A297"/>
          </w:pPr>
          <w:r w:rsidRPr="00B844FE">
            <w:t>Enter Sponsors Here</w:t>
          </w:r>
        </w:p>
      </w:docPartBody>
    </w:docPart>
    <w:docPart>
      <w:docPartPr>
        <w:name w:val="4624967A23624E37AC692066992130C9"/>
        <w:category>
          <w:name w:val="General"/>
          <w:gallery w:val="placeholder"/>
        </w:category>
        <w:types>
          <w:type w:val="bbPlcHdr"/>
        </w:types>
        <w:behaviors>
          <w:behavior w:val="content"/>
        </w:behaviors>
        <w:guid w:val="{ACDB0A4C-0FBA-4281-A83D-A67A52801379}"/>
      </w:docPartPr>
      <w:docPartBody>
        <w:p w:rsidR="00075883" w:rsidRDefault="00075883">
          <w:pPr>
            <w:pStyle w:val="4624967A23624E37AC692066992130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83"/>
    <w:rsid w:val="0007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A9A639A1884020BF3576F0A0A8418B">
    <w:name w:val="F8A9A639A1884020BF3576F0A0A8418B"/>
  </w:style>
  <w:style w:type="paragraph" w:customStyle="1" w:styleId="3047BF8DCF2F4BDB959CE83B186228F4">
    <w:name w:val="3047BF8DCF2F4BDB959CE83B186228F4"/>
  </w:style>
  <w:style w:type="paragraph" w:customStyle="1" w:styleId="A7A1937461124589BC4EC162F4D58E77">
    <w:name w:val="A7A1937461124589BC4EC162F4D58E77"/>
  </w:style>
  <w:style w:type="paragraph" w:customStyle="1" w:styleId="1BFC8527BB4346E9A2CFA61014C9A297">
    <w:name w:val="1BFC8527BB4346E9A2CFA61014C9A297"/>
  </w:style>
  <w:style w:type="character" w:styleId="PlaceholderText">
    <w:name w:val="Placeholder Text"/>
    <w:basedOn w:val="DefaultParagraphFont"/>
    <w:uiPriority w:val="99"/>
    <w:semiHidden/>
    <w:rPr>
      <w:color w:val="808080"/>
    </w:rPr>
  </w:style>
  <w:style w:type="paragraph" w:customStyle="1" w:styleId="4624967A23624E37AC692066992130C9">
    <w:name w:val="4624967A23624E37AC6920669921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92B8-E76B-4CE9-9F15-1898C99B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Section</dc:creator>
  <cp:keywords/>
  <dc:description/>
  <cp:lastModifiedBy>Robert Altmann</cp:lastModifiedBy>
  <cp:revision>2</cp:revision>
  <dcterms:created xsi:type="dcterms:W3CDTF">2023-01-19T21:05:00Z</dcterms:created>
  <dcterms:modified xsi:type="dcterms:W3CDTF">2023-01-19T21:05:00Z</dcterms:modified>
</cp:coreProperties>
</file>